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D7F92">
        <w:rPr>
          <w:rFonts w:ascii="Times New Roman" w:hAnsi="Times New Roman" w:cs="Times New Roman"/>
          <w:b/>
          <w:sz w:val="36"/>
          <w:szCs w:val="36"/>
          <w:u w:val="single"/>
        </w:rPr>
        <w:t>36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D7F92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CD7F9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de salón de usos múltiples, baño para docentes, baño universal y reparaciones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CD7F9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TARARIRAS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CD7F92">
        <w:rPr>
          <w:rFonts w:ascii="Times New Roman" w:hAnsi="Times New Roman" w:cs="Times New Roman"/>
          <w:b/>
        </w:rPr>
        <w:t>COLONIA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CD7F92">
        <w:rPr>
          <w:b/>
          <w:bCs/>
          <w:sz w:val="36"/>
          <w:szCs w:val="36"/>
          <w:u w:val="single"/>
        </w:rPr>
        <w:t>117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CD7F92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CD7F92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887E7-429B-4FAF-A31B-C60448C1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2017-10-05T17:38:00Z</dcterms:modified>
</cp:coreProperties>
</file>